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EE" w:rsidRDefault="00CD57AB">
      <w:pPr>
        <w:pStyle w:val="BodyText"/>
        <w:ind w:left="7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5605606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60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2EE" w:rsidRDefault="00CD42EE">
      <w:pPr>
        <w:pStyle w:val="BodyText"/>
        <w:spacing w:before="6"/>
        <w:rPr>
          <w:rFonts w:ascii="Times New Roman"/>
          <w:b w:val="0"/>
          <w:sz w:val="21"/>
        </w:rPr>
      </w:pPr>
    </w:p>
    <w:p w:rsidR="00CD42EE" w:rsidRDefault="00CD57AB">
      <w:pPr>
        <w:pStyle w:val="BodyText"/>
        <w:tabs>
          <w:tab w:val="left" w:pos="3640"/>
          <w:tab w:val="left" w:pos="10189"/>
        </w:tabs>
        <w:spacing w:before="91"/>
        <w:ind w:left="103"/>
      </w:pPr>
      <w:r>
        <w:rPr>
          <w:color w:val="FFFFFF"/>
          <w:w w:val="99"/>
          <w:shd w:val="clear" w:color="auto" w:fill="33CCCC"/>
        </w:rPr>
        <w:t xml:space="preserve"> </w:t>
      </w:r>
      <w:r>
        <w:rPr>
          <w:color w:val="FFFFFF"/>
          <w:shd w:val="clear" w:color="auto" w:fill="33CCCC"/>
        </w:rPr>
        <w:tab/>
        <w:t>CURRICULUMN</w:t>
      </w:r>
      <w:r>
        <w:rPr>
          <w:color w:val="FFFFFF"/>
          <w:spacing w:val="-1"/>
          <w:shd w:val="clear" w:color="auto" w:fill="33CCCC"/>
        </w:rPr>
        <w:t xml:space="preserve"> </w:t>
      </w:r>
      <w:r>
        <w:rPr>
          <w:color w:val="FFFFFF"/>
          <w:shd w:val="clear" w:color="auto" w:fill="33CCCC"/>
        </w:rPr>
        <w:t>VITAE</w:t>
      </w:r>
      <w:r>
        <w:rPr>
          <w:color w:val="FFFFFF"/>
          <w:shd w:val="clear" w:color="auto" w:fill="33CCCC"/>
        </w:rPr>
        <w:tab/>
      </w:r>
    </w:p>
    <w:p w:rsidR="00CD42EE" w:rsidRDefault="00CD42EE">
      <w:pPr>
        <w:rPr>
          <w:b/>
          <w:sz w:val="20"/>
        </w:rPr>
      </w:pPr>
    </w:p>
    <w:p w:rsidR="00CD42EE" w:rsidRDefault="00CD42EE">
      <w:pPr>
        <w:rPr>
          <w:b/>
          <w:sz w:val="20"/>
        </w:rPr>
      </w:pPr>
    </w:p>
    <w:p w:rsidR="00CD42EE" w:rsidRDefault="00CD42EE">
      <w:pPr>
        <w:spacing w:before="5"/>
        <w:rPr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425"/>
        <w:gridCol w:w="535"/>
        <w:gridCol w:w="3155"/>
        <w:gridCol w:w="3241"/>
      </w:tblGrid>
      <w:tr w:rsidR="00CD42EE">
        <w:trPr>
          <w:trHeight w:val="665"/>
        </w:trPr>
        <w:tc>
          <w:tcPr>
            <w:tcW w:w="6750" w:type="dxa"/>
            <w:gridSpan w:val="4"/>
          </w:tcPr>
          <w:p w:rsidR="00CD42EE" w:rsidRDefault="00CD57AB">
            <w:pPr>
              <w:pStyle w:val="TableParagraph"/>
              <w:spacing w:before="187"/>
              <w:rPr>
                <w:b/>
              </w:rPr>
            </w:pPr>
            <w:r>
              <w:rPr>
                <w:b/>
                <w:color w:val="222A35"/>
              </w:rPr>
              <w:t xml:space="preserve">Yoshimi </w:t>
            </w:r>
            <w:proofErr w:type="spellStart"/>
            <w:r>
              <w:rPr>
                <w:b/>
                <w:color w:val="222A35"/>
              </w:rPr>
              <w:t>Ohara</w:t>
            </w:r>
            <w:proofErr w:type="spellEnd"/>
          </w:p>
        </w:tc>
        <w:tc>
          <w:tcPr>
            <w:tcW w:w="3241" w:type="dxa"/>
            <w:vMerge w:val="restart"/>
          </w:tcPr>
          <w:p w:rsidR="00CD42EE" w:rsidRDefault="00CD42E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D42EE" w:rsidRDefault="00CD42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D42EE" w:rsidRDefault="00CD57AB"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46.6pt;height:220.6pt;mso-position-horizontal-relative:char;mso-position-vertical-relative:line" coordsize="2932,441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912;height:4412">
                    <v:imagedata r:id="rId7" o:title=""/>
                  </v:shape>
                  <v:shape id="_x0000_s1028" type="#_x0000_t75" style="position:absolute;left:906;width:1076;height:4412">
                    <v:imagedata r:id="rId8" o:title=""/>
                  </v:shape>
                  <v:shape id="_x0000_s1027" type="#_x0000_t75" style="position:absolute;left:1981;width:951;height:4412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CD42EE">
        <w:trPr>
          <w:trHeight w:val="562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 w:rsidR="00CD42EE" w:rsidRDefault="00CD57AB">
            <w:pPr>
              <w:pStyle w:val="TableParagraph"/>
              <w:spacing w:before="0"/>
              <w:ind w:left="1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0584" cy="182879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:rsidR="00CD42EE" w:rsidRDefault="00CD57AB">
            <w:pPr>
              <w:pStyle w:val="TableParagraph"/>
              <w:spacing w:before="133"/>
            </w:pPr>
            <w:r>
              <w:t>24 February 1966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578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 w:rsidR="00CD42EE" w:rsidRDefault="00CD57AB"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4583" cy="18307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83" cy="18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:rsidR="00CD42EE" w:rsidRDefault="00CD57AB">
            <w:pPr>
              <w:pStyle w:val="TableParagraph"/>
              <w:spacing w:before="141"/>
            </w:pPr>
            <w:proofErr w:type="spellStart"/>
            <w:r>
              <w:t>Nagashima</w:t>
            </w:r>
            <w:proofErr w:type="spellEnd"/>
            <w:r>
              <w:t xml:space="preserve"> </w:t>
            </w:r>
            <w:proofErr w:type="spellStart"/>
            <w:r>
              <w:t>Ohno</w:t>
            </w:r>
            <w:proofErr w:type="spellEnd"/>
            <w:r>
              <w:t xml:space="preserve"> &amp; </w:t>
            </w:r>
            <w:proofErr w:type="spellStart"/>
            <w:r>
              <w:t>Tsunematsu</w:t>
            </w:r>
            <w:proofErr w:type="spellEnd"/>
            <w:r>
              <w:t>, Partner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941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CD42EE" w:rsidRDefault="00CD57AB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2020" cy="16202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0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:rsidR="00CD42EE" w:rsidRDefault="00CD57AB">
            <w:pPr>
              <w:pStyle w:val="TableParagraph"/>
            </w:pPr>
            <w:r>
              <w:t xml:space="preserve">JP Tower, 2-7-2, </w:t>
            </w:r>
            <w:proofErr w:type="spellStart"/>
            <w:r>
              <w:t>Marunouchi</w:t>
            </w:r>
            <w:proofErr w:type="spellEnd"/>
            <w:r>
              <w:t>, Chiyoda-</w:t>
            </w:r>
            <w:proofErr w:type="spellStart"/>
            <w:r>
              <w:t>ku</w:t>
            </w:r>
            <w:proofErr w:type="spellEnd"/>
          </w:p>
          <w:p w:rsidR="00CD42EE" w:rsidRDefault="00CD57AB">
            <w:pPr>
              <w:pStyle w:val="TableParagraph"/>
              <w:spacing w:before="158"/>
            </w:pPr>
            <w:r>
              <w:t>100-7036 Tokyo JAPAN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579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4"/>
              <w:ind w:left="0"/>
              <w:rPr>
                <w:b/>
                <w:sz w:val="11"/>
              </w:rPr>
            </w:pPr>
          </w:p>
          <w:p w:rsidR="00CD42EE" w:rsidRDefault="00CD57AB">
            <w:pPr>
              <w:pStyle w:val="TableParagraph"/>
              <w:spacing w:before="0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2118" cy="17678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D42EE" w:rsidRDefault="00CD57AB">
            <w:pPr>
              <w:pStyle w:val="TableParagraph"/>
              <w:spacing w:before="141"/>
            </w:pPr>
            <w:r>
              <w:t>+81-3-6889-7146</w:t>
            </w:r>
          </w:p>
        </w:tc>
        <w:tc>
          <w:tcPr>
            <w:tcW w:w="535" w:type="dxa"/>
          </w:tcPr>
          <w:p w:rsidR="00CD42EE" w:rsidRDefault="00CD42EE">
            <w:pPr>
              <w:pStyle w:val="TableParagraph"/>
              <w:spacing w:before="9" w:after="1"/>
              <w:ind w:left="0"/>
              <w:rPr>
                <w:b/>
                <w:sz w:val="11"/>
              </w:rPr>
            </w:pPr>
          </w:p>
          <w:p w:rsidR="00CD42EE" w:rsidRDefault="00CD57AB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8229" cy="168021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29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D42EE" w:rsidRDefault="00CD57AB">
            <w:pPr>
              <w:pStyle w:val="TableParagraph"/>
              <w:spacing w:before="141"/>
            </w:pPr>
            <w:r>
              <w:t>+81-3-6889-8146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613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 w:rsidR="00CD42EE" w:rsidRDefault="00CD57AB">
            <w:pPr>
              <w:pStyle w:val="TableParagraph"/>
              <w:spacing w:before="0"/>
              <w:ind w:left="1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0623" cy="216026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23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:rsidR="00CD42EE" w:rsidRDefault="00CD57AB">
            <w:pPr>
              <w:pStyle w:val="TableParagraph"/>
              <w:spacing w:before="158"/>
            </w:pPr>
            <w:hyperlink r:id="rId16">
              <w:r>
                <w:t>yoshimi_ohara@noandt.com</w:t>
              </w:r>
            </w:hyperlink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821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1"/>
              <w:ind w:left="0"/>
              <w:rPr>
                <w:b/>
              </w:rPr>
            </w:pPr>
          </w:p>
          <w:p w:rsidR="00CD42EE" w:rsidRDefault="00CD57AB">
            <w:pPr>
              <w:pStyle w:val="TableParagraph"/>
              <w:spacing w:before="0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6022" cy="170687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:rsidR="00CD42EE" w:rsidRDefault="00CD57AB">
            <w:pPr>
              <w:pStyle w:val="TableParagraph"/>
              <w:spacing w:line="276" w:lineRule="auto"/>
              <w:ind w:right="719"/>
            </w:pPr>
            <w:r>
              <w:t>Dispute resolutions, including litigation, arbitration and mediation, cross-border transactions, IT and IP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557"/>
        </w:trPr>
        <w:tc>
          <w:tcPr>
            <w:tcW w:w="635" w:type="dxa"/>
          </w:tcPr>
          <w:p w:rsidR="00CD42EE" w:rsidRDefault="00CD42EE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:rsidR="00CD42EE" w:rsidRDefault="00CD57AB">
            <w:pPr>
              <w:pStyle w:val="TableParagraph"/>
              <w:spacing w:before="0"/>
              <w:ind w:left="1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4302" cy="162020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2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gridSpan w:val="3"/>
          </w:tcPr>
          <w:p w:rsidR="00CD42EE" w:rsidRDefault="00CD57AB">
            <w:pPr>
              <w:pStyle w:val="TableParagraph"/>
              <w:spacing w:before="130"/>
            </w:pPr>
            <w:r>
              <w:t>Japanese, English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CD42EE" w:rsidRDefault="00CD42EE">
            <w:pPr>
              <w:rPr>
                <w:sz w:val="2"/>
                <w:szCs w:val="2"/>
              </w:rPr>
            </w:pPr>
          </w:p>
        </w:tc>
      </w:tr>
      <w:tr w:rsidR="00CD42EE">
        <w:trPr>
          <w:trHeight w:val="530"/>
        </w:trPr>
        <w:tc>
          <w:tcPr>
            <w:tcW w:w="9991" w:type="dxa"/>
            <w:gridSpan w:val="5"/>
          </w:tcPr>
          <w:p w:rsidR="00CD42EE" w:rsidRDefault="00CD57AB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  <w:u w:val="thick"/>
              </w:rPr>
              <w:t>Education</w:t>
            </w:r>
          </w:p>
        </w:tc>
      </w:tr>
      <w:tr w:rsidR="00CD42EE">
        <w:trPr>
          <w:trHeight w:val="531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  <w:spacing w:before="118"/>
            </w:pPr>
            <w:r>
              <w:t>Qualifications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  <w:spacing w:before="118"/>
            </w:pPr>
            <w:r>
              <w:t>Admitted to practice law in Japan (1992), New York (1997)</w:t>
            </w:r>
          </w:p>
        </w:tc>
      </w:tr>
      <w:tr w:rsidR="00CD42EE">
        <w:trPr>
          <w:trHeight w:val="531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</w:pPr>
            <w:r>
              <w:t>Major(s)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</w:pPr>
            <w:r>
              <w:t>Law</w:t>
            </w:r>
          </w:p>
        </w:tc>
      </w:tr>
      <w:tr w:rsidR="00CD42EE">
        <w:trPr>
          <w:trHeight w:val="821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</w:pPr>
            <w:r>
              <w:t>University(s)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  <w:spacing w:line="276" w:lineRule="auto"/>
            </w:pPr>
            <w:r>
              <w:t>The University of Tokyo (LL.B., 1990) ; Harvar</w:t>
            </w:r>
            <w:r>
              <w:rPr>
                <w:b/>
              </w:rPr>
              <w:t xml:space="preserve">d </w:t>
            </w:r>
            <w:r>
              <w:t>Law School (LL.M., 1996)</w:t>
            </w:r>
          </w:p>
        </w:tc>
      </w:tr>
      <w:tr w:rsidR="00CD42EE">
        <w:trPr>
          <w:trHeight w:val="531"/>
        </w:trPr>
        <w:tc>
          <w:tcPr>
            <w:tcW w:w="9991" w:type="dxa"/>
            <w:gridSpan w:val="5"/>
          </w:tcPr>
          <w:p w:rsidR="00CD42EE" w:rsidRDefault="00CD57AB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  <w:u w:val="thick"/>
              </w:rPr>
              <w:t>Work history</w:t>
            </w:r>
          </w:p>
        </w:tc>
      </w:tr>
      <w:tr w:rsidR="00CD42EE">
        <w:trPr>
          <w:trHeight w:val="531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</w:pPr>
            <w:r>
              <w:t>1992-present</w:t>
            </w:r>
          </w:p>
        </w:tc>
        <w:tc>
          <w:tcPr>
            <w:tcW w:w="6931" w:type="dxa"/>
            <w:gridSpan w:val="3"/>
          </w:tcPr>
          <w:p w:rsidR="00CD42EE" w:rsidRDefault="00627EED">
            <w:pPr>
              <w:pStyle w:val="TableParagraph"/>
            </w:pPr>
            <w:proofErr w:type="spellStart"/>
            <w:r>
              <w:t>Nag</w:t>
            </w:r>
            <w:r w:rsidR="00CD57AB">
              <w:t>ashima</w:t>
            </w:r>
            <w:proofErr w:type="spellEnd"/>
            <w:r w:rsidR="00CD57AB">
              <w:t xml:space="preserve"> </w:t>
            </w:r>
            <w:proofErr w:type="spellStart"/>
            <w:r w:rsidR="00CD57AB">
              <w:t>Ohno</w:t>
            </w:r>
            <w:proofErr w:type="spellEnd"/>
            <w:r w:rsidR="00CD57AB">
              <w:t xml:space="preserve"> &amp; </w:t>
            </w:r>
            <w:proofErr w:type="spellStart"/>
            <w:r w:rsidR="00CD57AB">
              <w:t>Tsunematsu</w:t>
            </w:r>
            <w:proofErr w:type="spellEnd"/>
            <w:r w:rsidR="00CD57AB">
              <w:t>, Tokyo</w:t>
            </w:r>
          </w:p>
        </w:tc>
      </w:tr>
      <w:tr w:rsidR="00CD42EE">
        <w:trPr>
          <w:trHeight w:val="530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</w:pPr>
            <w:r>
              <w:t>1996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</w:pPr>
            <w:r>
              <w:t>Covington &amp;</w:t>
            </w:r>
            <w:r>
              <w:t xml:space="preserve"> Burling LLP, Washington, D.C.</w:t>
            </w:r>
          </w:p>
        </w:tc>
      </w:tr>
      <w:tr w:rsidR="00CD42EE">
        <w:trPr>
          <w:trHeight w:val="822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  <w:spacing w:before="118"/>
            </w:pPr>
            <w:r>
              <w:t>1999-2000</w:t>
            </w:r>
          </w:p>
        </w:tc>
        <w:tc>
          <w:tcPr>
            <w:tcW w:w="6931" w:type="dxa"/>
            <w:gridSpan w:val="3"/>
          </w:tcPr>
          <w:p w:rsidR="00CD42EE" w:rsidRDefault="009A4EA0">
            <w:pPr>
              <w:pStyle w:val="TableParagraph"/>
              <w:spacing w:before="118" w:line="276" w:lineRule="auto"/>
            </w:pPr>
            <w:r>
              <w:t>In-house, Intellectual prop</w:t>
            </w:r>
            <w:r w:rsidR="00CD57AB">
              <w:t>erty department of a Japanese electronics company</w:t>
            </w:r>
          </w:p>
        </w:tc>
      </w:tr>
      <w:tr w:rsidR="00CD42EE">
        <w:trPr>
          <w:trHeight w:val="530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</w:pPr>
            <w:r>
              <w:t>2003-2004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</w:pPr>
            <w:r>
              <w:t>Foley &amp; Lardner LLP, Washington, D.C.</w:t>
            </w:r>
          </w:p>
        </w:tc>
      </w:tr>
      <w:tr w:rsidR="00CD42EE">
        <w:trPr>
          <w:trHeight w:val="822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  <w:spacing w:before="118"/>
            </w:pPr>
            <w:r>
              <w:t>2011-2013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  <w:spacing w:before="118" w:line="276" w:lineRule="auto"/>
            </w:pPr>
            <w:r>
              <w:t>Member, IBA Task Force on Professional Conduct of Counsel in International Arbitration</w:t>
            </w:r>
          </w:p>
        </w:tc>
      </w:tr>
      <w:tr w:rsidR="00CD42EE">
        <w:trPr>
          <w:trHeight w:val="530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</w:pPr>
            <w:r>
              <w:t>2011-2015</w:t>
            </w:r>
          </w:p>
        </w:tc>
        <w:tc>
          <w:tcPr>
            <w:tcW w:w="6931" w:type="dxa"/>
            <w:gridSpan w:val="3"/>
          </w:tcPr>
          <w:p w:rsidR="00CD42EE" w:rsidRDefault="009A4EA0">
            <w:pPr>
              <w:pStyle w:val="TableParagraph"/>
            </w:pPr>
            <w:r>
              <w:t>Cou</w:t>
            </w:r>
            <w:r w:rsidR="00CD57AB">
              <w:t>rt member, The London Court of International Arbitration</w:t>
            </w:r>
          </w:p>
        </w:tc>
      </w:tr>
      <w:tr w:rsidR="00CD42EE">
        <w:trPr>
          <w:trHeight w:val="531"/>
        </w:trPr>
        <w:tc>
          <w:tcPr>
            <w:tcW w:w="3060" w:type="dxa"/>
            <w:gridSpan w:val="2"/>
          </w:tcPr>
          <w:p w:rsidR="00CD42EE" w:rsidRDefault="00CD57AB">
            <w:pPr>
              <w:pStyle w:val="TableParagraph"/>
              <w:spacing w:before="118"/>
            </w:pPr>
            <w:r>
              <w:t>2013-2015</w:t>
            </w:r>
          </w:p>
        </w:tc>
        <w:tc>
          <w:tcPr>
            <w:tcW w:w="6931" w:type="dxa"/>
            <w:gridSpan w:val="3"/>
          </w:tcPr>
          <w:p w:rsidR="00CD42EE" w:rsidRDefault="00CD57AB">
            <w:pPr>
              <w:pStyle w:val="TableParagraph"/>
              <w:spacing w:before="118"/>
            </w:pPr>
            <w:r>
              <w:t>Vice President, The London C</w:t>
            </w:r>
            <w:r w:rsidR="009A4EA0">
              <w:t>ourt of International Arbitratio</w:t>
            </w:r>
            <w:r>
              <w:t>n</w:t>
            </w:r>
          </w:p>
        </w:tc>
      </w:tr>
    </w:tbl>
    <w:p w:rsidR="00CD42EE" w:rsidRDefault="00CD42EE">
      <w:pPr>
        <w:sectPr w:rsidR="00CD42EE">
          <w:footerReference w:type="default" r:id="rId19"/>
          <w:type w:val="continuous"/>
          <w:pgSz w:w="11910" w:h="16840"/>
          <w:pgMar w:top="840" w:right="1000" w:bottom="520" w:left="600" w:header="720" w:footer="333" w:gutter="0"/>
          <w:pgNumType w:start="1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930"/>
      </w:tblGrid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lastRenderedPageBreak/>
              <w:t>2013-2014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Member, IBA Asia Pacific Arbitration Group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2013-2014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Member, IBA Conflicts of Interest Subcommittee</w:t>
            </w:r>
          </w:p>
        </w:tc>
      </w:tr>
      <w:tr w:rsidR="00CD42EE">
        <w:trPr>
          <w:trHeight w:val="530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2014-present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Adjunct Lecturer, Keio Law School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  <w:spacing w:before="118"/>
            </w:pPr>
            <w:r>
              <w:t>2015-2016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before="118"/>
            </w:pPr>
            <w:r>
              <w:t>Co-chair, IBA Asia Pacific Arbitration Group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2015-present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Vice President, ICC International Court of Arbitration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2016-2018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President, LCIA Asia Pacific Users' Council</w:t>
            </w:r>
          </w:p>
        </w:tc>
      </w:tr>
      <w:tr w:rsidR="00CD42EE">
        <w:trPr>
          <w:trHeight w:val="530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2016-present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Director, Japan Association of Arbitrators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  <w:spacing w:before="118"/>
            </w:pPr>
            <w:r>
              <w:t>2017-present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before="118"/>
            </w:pPr>
            <w:r>
              <w:t>Member of the Board, Swiss Arbitration Association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  <w:spacing w:before="118"/>
            </w:pPr>
            <w:r>
              <w:t>2018-present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tabs>
                <w:tab w:val="left" w:pos="1131"/>
                <w:tab w:val="left" w:pos="1535"/>
                <w:tab w:val="left" w:pos="2059"/>
                <w:tab w:val="left" w:pos="3292"/>
                <w:tab w:val="left" w:pos="4157"/>
                <w:tab w:val="left" w:pos="5586"/>
                <w:tab w:val="left" w:pos="6536"/>
              </w:tabs>
              <w:spacing w:before="118" w:line="276" w:lineRule="auto"/>
              <w:ind w:right="124" w:hanging="1"/>
            </w:pPr>
            <w:r>
              <w:t>Member</w:t>
            </w:r>
            <w:r>
              <w:tab/>
              <w:t>of</w:t>
            </w:r>
            <w:r>
              <w:tab/>
              <w:t>the</w:t>
            </w:r>
            <w:r>
              <w:tab/>
              <w:t>Governing</w:t>
            </w:r>
            <w:r>
              <w:tab/>
              <w:t>Board,</w:t>
            </w:r>
            <w:r>
              <w:tab/>
              <w:t>International</w:t>
            </w:r>
            <w:r>
              <w:tab/>
              <w:t>Council</w:t>
            </w:r>
            <w:r>
              <w:tab/>
            </w:r>
            <w:r>
              <w:rPr>
                <w:spacing w:val="-6"/>
              </w:rPr>
              <w:t xml:space="preserve">for </w:t>
            </w:r>
            <w:r>
              <w:t>Commercial</w:t>
            </w:r>
            <w:r>
              <w:rPr>
                <w:spacing w:val="-1"/>
              </w:rPr>
              <w:t xml:space="preserve"> </w:t>
            </w:r>
            <w:r>
              <w:t>Arbitration</w:t>
            </w:r>
          </w:p>
        </w:tc>
      </w:tr>
      <w:tr w:rsidR="00CD42EE">
        <w:trPr>
          <w:trHeight w:val="637"/>
        </w:trPr>
        <w:tc>
          <w:tcPr>
            <w:tcW w:w="9990" w:type="dxa"/>
            <w:gridSpan w:val="2"/>
          </w:tcPr>
          <w:p w:rsidR="00CD42EE" w:rsidRDefault="00CD57AB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  <w:u w:val="thick"/>
              </w:rPr>
              <w:t>Researches and papers (in English)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June, 2018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2019 Japan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September, 2017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ind w:left="108"/>
            </w:pPr>
            <w:r>
              <w:t>Arbitration in Japan (Asian Dispute Review)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June, 2017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2018 Japan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June 2016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2017 Japan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October, 2015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</w:pPr>
            <w:r>
              <w:t>Arbitration World - Jurisdictional Comparisons 5th Edition 2015 (Co- author)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  <w:spacing w:before="118"/>
            </w:pPr>
            <w:r>
              <w:t>October, 2014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tabs>
                <w:tab w:val="left" w:pos="891"/>
                <w:tab w:val="left" w:pos="2372"/>
                <w:tab w:val="left" w:pos="3660"/>
                <w:tab w:val="left" w:pos="4249"/>
                <w:tab w:val="left" w:pos="5926"/>
              </w:tabs>
              <w:spacing w:before="118"/>
              <w:ind w:left="106"/>
            </w:pPr>
            <w:r>
              <w:t>METI</w:t>
            </w:r>
            <w:r>
              <w:tab/>
              <w:t>RESEARCH</w:t>
            </w:r>
            <w:r>
              <w:tab/>
              <w:t>PROJECT</w:t>
            </w:r>
            <w:r>
              <w:tab/>
              <w:t>ON</w:t>
            </w:r>
            <w:r>
              <w:tab/>
              <w:t>INVESTMENT</w:t>
            </w:r>
            <w:r>
              <w:tab/>
              <w:t>TREATY</w:t>
            </w:r>
          </w:p>
          <w:p w:rsidR="00CD42EE" w:rsidRDefault="00CD57AB">
            <w:pPr>
              <w:pStyle w:val="TableParagraph"/>
              <w:spacing w:before="38"/>
            </w:pPr>
            <w:r>
              <w:t>ARBITRATION (JCAA Newsletter No</w:t>
            </w:r>
            <w:r>
              <w:t>.32)</w:t>
            </w:r>
          </w:p>
        </w:tc>
      </w:tr>
      <w:tr w:rsidR="00CD42EE">
        <w:trPr>
          <w:trHeight w:val="822"/>
        </w:trPr>
        <w:tc>
          <w:tcPr>
            <w:tcW w:w="3060" w:type="dxa"/>
          </w:tcPr>
          <w:p w:rsidR="00CD42EE" w:rsidRDefault="00CD57AB">
            <w:pPr>
              <w:pStyle w:val="TableParagraph"/>
              <w:spacing w:before="118"/>
            </w:pPr>
            <w:r>
              <w:t>September, 2013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before="118" w:line="276" w:lineRule="auto"/>
            </w:pPr>
            <w:r>
              <w:t>Global Arbitration Review - The Asia-Pacific Arbitration Review 2014 Japan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June, 2012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  <w:ind w:hanging="1"/>
            </w:pPr>
            <w:r>
              <w:t>Global Arbitration Review - The Asia-Pacific Arbitration Review 2013 Japan</w:t>
            </w:r>
            <w:bookmarkStart w:id="0" w:name="_GoBack"/>
            <w:bookmarkEnd w:id="0"/>
          </w:p>
        </w:tc>
      </w:tr>
      <w:tr w:rsidR="00CD42EE">
        <w:trPr>
          <w:trHeight w:val="94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November, 2011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ind w:left="108"/>
            </w:pPr>
            <w:r>
              <w:t>Asia Arbitration Handbook Japan (Co-author)</w:t>
            </w:r>
          </w:p>
          <w:p w:rsidR="00CD42EE" w:rsidRDefault="00CD57AB">
            <w:pPr>
              <w:pStyle w:val="TableParagraph"/>
              <w:spacing w:before="159"/>
            </w:pPr>
            <w:r>
              <w:t>(Oxford University Press)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November, 2011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  <w:ind w:firstLine="1"/>
            </w:pPr>
            <w:r>
              <w:t>Global Arbitration Review - The Asia-Pacific Arbitration Review 2012 Japan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  <w:spacing w:before="118"/>
            </w:pPr>
            <w:r>
              <w:t>May, 2009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before="118"/>
              <w:ind w:left="109"/>
            </w:pPr>
            <w:r>
              <w:t>TV Rights and Sport: Legal Aspects Chapter 24 Japan</w:t>
            </w:r>
          </w:p>
        </w:tc>
      </w:tr>
      <w:tr w:rsidR="00CD42EE">
        <w:trPr>
          <w:trHeight w:val="53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July, 2006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</w:pPr>
            <w:r>
              <w:t>Japan's IP High Court: A Proactive Judiciary</w:t>
            </w:r>
          </w:p>
        </w:tc>
      </w:tr>
    </w:tbl>
    <w:p w:rsidR="00CD42EE" w:rsidRDefault="00CD42EE">
      <w:pPr>
        <w:sectPr w:rsidR="00CD42EE">
          <w:pgSz w:w="11910" w:h="16840"/>
          <w:pgMar w:top="720" w:right="1000" w:bottom="520" w:left="600" w:header="0" w:footer="333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930"/>
      </w:tblGrid>
      <w:tr w:rsidR="00CD42EE">
        <w:trPr>
          <w:trHeight w:val="411"/>
        </w:trPr>
        <w:tc>
          <w:tcPr>
            <w:tcW w:w="3060" w:type="dxa"/>
          </w:tcPr>
          <w:p w:rsidR="00CD42EE" w:rsidRDefault="00CD42E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before="0" w:line="250" w:lineRule="exact"/>
            </w:pPr>
            <w:r>
              <w:t xml:space="preserve">(The </w:t>
            </w:r>
            <w:proofErr w:type="spellStart"/>
            <w:r>
              <w:t>Asialaw</w:t>
            </w:r>
            <w:proofErr w:type="spellEnd"/>
            <w:r>
              <w:t xml:space="preserve"> Japan Review, Volume 2 Issue 1, July 2006)</w:t>
            </w:r>
          </w:p>
        </w:tc>
      </w:tr>
      <w:tr w:rsidR="00CD42EE">
        <w:trPr>
          <w:trHeight w:val="821"/>
        </w:trPr>
        <w:tc>
          <w:tcPr>
            <w:tcW w:w="3060" w:type="dxa"/>
          </w:tcPr>
          <w:p w:rsidR="00CD42EE" w:rsidRDefault="00CD57AB">
            <w:pPr>
              <w:pStyle w:val="TableParagraph"/>
            </w:pPr>
            <w:r>
              <w:t>December, 2000</w:t>
            </w:r>
          </w:p>
        </w:tc>
        <w:tc>
          <w:tcPr>
            <w:tcW w:w="6930" w:type="dxa"/>
          </w:tcPr>
          <w:p w:rsidR="00CD42EE" w:rsidRDefault="00CD57AB">
            <w:pPr>
              <w:pStyle w:val="TableParagraph"/>
              <w:spacing w:line="276" w:lineRule="auto"/>
              <w:ind w:right="137" w:hanging="1"/>
            </w:pPr>
            <w:r>
              <w:t>International Privacy, Publicity &amp; Personality Laws: Chapter 18 Japan</w:t>
            </w:r>
          </w:p>
        </w:tc>
      </w:tr>
    </w:tbl>
    <w:p w:rsidR="00CD57AB" w:rsidRDefault="00CD57AB"/>
    <w:sectPr w:rsidR="00CD57AB">
      <w:pgSz w:w="11910" w:h="16840"/>
      <w:pgMar w:top="720" w:right="1000" w:bottom="520" w:left="600" w:header="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AB" w:rsidRDefault="00CD57AB">
      <w:r>
        <w:separator/>
      </w:r>
    </w:p>
  </w:endnote>
  <w:endnote w:type="continuationSeparator" w:id="0">
    <w:p w:rsidR="00CD57AB" w:rsidRDefault="00CD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EE" w:rsidRDefault="00CD57AB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pt;margin-top:810.3pt;width:12.35pt;height:14.35pt;z-index:-251658752;mso-position-horizontal-relative:page;mso-position-vertical-relative:page" filled="f" stroked="f">
          <v:textbox inset="0,0,0,0">
            <w:txbxContent>
              <w:p w:rsidR="00CD42EE" w:rsidRDefault="00CD57AB">
                <w:pPr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04719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AB" w:rsidRDefault="00CD57AB">
      <w:r>
        <w:separator/>
      </w:r>
    </w:p>
  </w:footnote>
  <w:footnote w:type="continuationSeparator" w:id="0">
    <w:p w:rsidR="00CD57AB" w:rsidRDefault="00CD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42EE"/>
    <w:rsid w:val="00304719"/>
    <w:rsid w:val="00627EED"/>
    <w:rsid w:val="009A4EA0"/>
    <w:rsid w:val="00CD42EE"/>
    <w:rsid w:val="00C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9FC1275-7DDD-4C08-9C67-28B3311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mailto:yoshimi_ohara@noandt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CV_Yoshimi Ohara_Nagashima Ohno and Tsunematsu.docx</vt:lpstr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CV_Yoshimi Ohara_Nagashima Ohno and Tsunematsu.docx</dc:title>
  <dc:creator>y_hyodo</dc:creator>
  <cp:lastModifiedBy>1178</cp:lastModifiedBy>
  <cp:revision>3</cp:revision>
  <dcterms:created xsi:type="dcterms:W3CDTF">2019-12-19T07:19:00Z</dcterms:created>
  <dcterms:modified xsi:type="dcterms:W3CDTF">2019-12-19T07:52:00Z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2019-12-19T00:00:00Z</vt:filetime>
  </property>
</Properties>
</file>